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Inter" w:cs="Inter" w:eastAsia="Inter" w:hAnsi="Inter"/>
          <w:sz w:val="32"/>
          <w:szCs w:val="32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32"/>
          <w:szCs w:val="32"/>
          <w:rtl w:val="0"/>
        </w:rPr>
        <w:t xml:space="preserve">Javni poziv za društveno-kulturne i umjetničke programe u 2024. godini - DODATNI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Inter" w:cs="Inter" w:eastAsia="Inter" w:hAnsi="Int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U sklopu projekata </w:t>
      </w: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'Murai 2.0'</w:t>
      </w: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 sufinanciranog sredstvima Zaklade 'Kultura nova' i projekta </w:t>
      </w: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‘Murai 2/24’</w:t>
      </w: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 sufinanciranog sredstvima Ministarstva kulture i medija RH, Međimurske županije i Općine Sveti Juraj na Bregu, a temeljem Sporazuma o suupravljanju zgradom Doma kulture Jurice Muraja koji je 9. studenog 2020. godine potpisan s Općinom Sveti Juraj na Bregu, Platforma za Društveni centar Čakovec (u nastavku: PDCCK) poziva udruge, umjetničke organizacije, neformalne grupe, pojedince i pojedinke da se prijave na dodatni Javni poziv za društveno-kulturne i umjetničke programe u 2024. godini.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Inter" w:cs="Inter" w:eastAsia="Inter" w:hAnsi="Inter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O pozivu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Projektom PDCCK uspostavlja cjelogodišnji program i nastavlja izgradnju i razvoj vizije kojom se otvaraju vrata suvremenoj kulturi i umjetnosti u Kreativno-edukativnom centru Murai u Pleškovcu, u Općini Sveti Juraj na Bregu. Program se naslanja na dosadašnja postignuća PDCCK-a, prvenstveno ESF projekt 'KEC Murai' kojim je stvoreno uključivo okruženje za suvremenu kulturu kroz sudioničko upravljanje zgradom Doma kulture Jurice Muraja u naselju Pleškovec.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Ovim pozivom omogućit će se kontinuirano dostupan programski sadržaj zgrade Doma kulture Jurice Muraja tijekom 2024. godine, osigurat će se vidljivost lokalnih i nacionalnih autora u Međimurju te nastaviti unaprjeđivati suupravljanje programskim sadržajem u zgradi Doma kulture Jurice Muraja.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Cjelogodišnji program projekta 'Murai 2.0' formiran je kroz tri tematske cjeline od kojih svaka uključuje po 4 javna programa koji će se održavati u KEC-u Murai. U prvom Javnom pozivu odabrano je 9 programa, a ovim Javnim pozivom odabrat će se posljednja 3 programa: </w:t>
      </w: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2 iz cjeline MURAI InterFaze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1 iz cjeline MURAI Refleksije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.  Dodatno, iz projekta 'Murai 2/24' otvaraju se dvije nove tematske cjeline - </w:t>
      </w: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MURAI Mozaik i MURAI Future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- te će iz svake biti odabrana </w:t>
      </w: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po 3 programa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MURAI InterFaze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obuhvaća programe koji preispituju kako, u doba tehnološkog napretka i sveprisutne digitalizacije, digitalni i virtualni prostori mijenjaju našu percepciju stvarnosti. Programi tematski istražuju ovaj odnos, preispituju granice između virtualnog i fizičkog svijeta, propituju kako suvremena umjetnost reflektira, reagira i redefinira te granice, stvarajući nove načine interakcije, percepcije i postojanja. Programi razmatraju i istražuju: interakciju između digitalnih tehnologija i fizičkog prostora, načine na koje digitalno oblikuje, proširuje ili ograničava naša fizička iskustva, refleksije na utjecaj digitalne tehnologije na suvremeni život, kulturu i umjetnost, ispitivanje kako digitalne tehnologije mijenjaju percepciju, interakciju i razumijevanje materijalnog svijeta.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MURAI Refleksije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je posvećen dubokom razmatranju izazova i mogućnosti 21. stoljeća i obuhvaća programe koji potiču preispitivanje ključnih društvenih, političkih i kulturalnih izazova današnjice, od tehnološkog napretka, društveno-političkih previranja, do novih oblika komunikacije i izražavanja. Programi propituju kako se suvremena umjetnost odnosi prema izazovima, istražuje različite perspektive, tumačenja i refleksije suvremenih umjetnika na dominantne diskurse našeg vremena. Programi razmatraju i istražuju: interpretaciju ključnih društvenih, političkih i tehnoloških fenomena 21. stoljeća.; refleksiju na globalne izazove poput klimatskih promjena, migracija, nejednakosti, identiteta i tehnološke dominacije; kritički pristup suvremenim narativima, mitovima i paradigmama; analizu kako umjetnost može utjecati, redefinirati ili čak preokrenuti dominantne diskurse.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MURAI Mozaik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teži spajanju tradicionalnih i suvremenih umjetničkih formi u jedinstvenom, interdisciplinarnom okruženju. Program se fokusira na istraživanje kako tradicionalne umjetničke i kulturne prakse mogu biti reinterpretirane, revitalizirane i rekontekstualizirane kroz suvremene medije i tehnologije. Tako programi ove cjeline teže premošćivanju jaza između generacija i stvaranju inkluzivnog prostora u kojem se mogu izraziti različite umjetničke i kulturne perspektive.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MURAI Future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 je, kao svojevrsni inkubator, posvećen mladim umjetnicima do 30 godina. Cilj je olakšati im pristup resursima i prilikama za izlaganje i poticati razvoj i implementaciju inovativnih umjetničkih projekata koji koriste nove tehnologije i otkrića; osigurati im platformu kroz koju mogu eksperimentirati, rasti i izgraditi svoje umjetničke i profesionalne putanje, dok istovremeno potiču socijalnu svijest i angažman. Program se fokusira na interdisciplinarni pristup, kombinirajući umjetnost s tehnologijom i društvenim znanostima kako bi se stvorili novi, dinamični oblici izraza.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Tko se može prijaviti?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Inter" w:cs="Inter" w:eastAsia="Inter" w:hAnsi="Inter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Prijaviti se mogu predstavnici i članovi udruga, umjetničkih organizacija i neformalnih grupa te pojedinci i pojedinke. Poziv je namijenjen svim umjetnicima, aktivistima, društvenim akterima te građanima s područja Republike Hrvatske.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Što se može prijaviti?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Prijaviti se mogu javni programi koji odgovaraju na teme definirane cjelinama InterFaze, Refleksije, Mozaik i Future kroz interaktivni društveno-kulturni događaj i/ili suvremenu umjetničku praksu poput izložbi, predstava, performansa, projekcija, instalacija, intervencija, koncerata, književnih večeri i radionica. 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Prihvatljive su sve umjetničke discipline, uključujući i ne ograničavajući se na: vizualne umjetnosti (slikarstvo, skulptura, instalacije, fotografija, video umjetnost i dr.); izvedbene umjetnosti (kazalište, ples, performans, glazba i interdisciplinarne izvedbene prakse); novi mediji (digitalna umjetnost, virtualna i proširena stvarnost, interaktivne instalacije); književne i narativne forme (poezija, kratke priče, eseji i druge forme); edukativne i participativne programe (radionice, predavanja, diskusije i dr.).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Koje je vrijeme realizacije?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Kulturni i umjetnički programi za 2024. godinu odabrani ovim Javnim pozivom realizirat će se od lipnja do prosinca 2024. godine, prema kalendaru raspoloživosti zgrade za navedeni period.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Inter" w:cs="Inter" w:eastAsia="Inter" w:hAnsi="Int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highlight w:val="white"/>
          <w:rtl w:val="0"/>
        </w:rPr>
        <w:t xml:space="preserve">Koliko će programa dobiti podršku?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Ovim pozivom bit će podržano maksimalno 9 javnih programa.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Koji su uvjeti?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Predloženi programi moraju odgovarati zahtjevima ovog poziva te biti u skladu s Pravilnikom o korištenju zgrade Doma kulture Jurice Muraja dostupnim na sljedećoj </w:t>
      </w:r>
      <w:hyperlink r:id="rId7">
        <w:r w:rsidDel="00000000" w:rsidR="00000000" w:rsidRPr="00000000">
          <w:rPr>
            <w:rFonts w:ascii="Inter" w:cs="Inter" w:eastAsia="Inter" w:hAnsi="Inter"/>
            <w:color w:val="1155cc"/>
            <w:sz w:val="24"/>
            <w:szCs w:val="24"/>
            <w:highlight w:val="white"/>
            <w:u w:val="single"/>
            <w:rtl w:val="0"/>
          </w:rPr>
          <w:t xml:space="preserve">poveznici</w:t>
        </w:r>
      </w:hyperlink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 i moraju odgovarati zahtjevima ovog poziva: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  <w:rtl w:val="0"/>
        </w:rPr>
        <w:t xml:space="preserve">Obavezno je ispunjavanje svih podataka o autoru/organizatoru i programu u prijavnici s jasnim opisom na koji je način program kompatibilan s kriterijima ovog Poziva.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Starost programa ne smije biti dulja od 12 mjeseci od datuma objave prvog Javnog poziva za društveno-kulturne i umjetničke programe u 2024., odnosno od 9.12.2022. godine.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  <w:rtl w:val="0"/>
        </w:rPr>
        <w:t xml:space="preserve">Moguća je jedna prijava po autoru, a participacija autora u više prijavljenih programa neće biti dvostruko financirana.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ter" w:cs="Inter" w:eastAsia="Inter" w:hAnsi="Inter"/>
          <w:color w:val="001321"/>
          <w:sz w:val="24"/>
          <w:szCs w:val="24"/>
          <w:u w:val="non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Autori i programi koji su odabrani i realizirani, ili imaju dogovoren termin realizacije, prvim Javnim pozivom za društveno-kulturne i umjetničke programe u 2024. godini nisu prihvatljivi prijavitelj.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  <w:rtl w:val="0"/>
        </w:rPr>
        <w:t xml:space="preserve">Program za krajnje korisnike (publiku) mora biti javan i besplatan.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1321"/>
          <w:sz w:val="24"/>
          <w:szCs w:val="24"/>
          <w:u w:val="none"/>
          <w:shd w:fill="auto" w:val="clear"/>
          <w:vertAlign w:val="baseline"/>
          <w:rtl w:val="0"/>
        </w:rPr>
        <w:t xml:space="preserve">PDCCK potiče umrežavanje i suradnju u svrhu daljnjeg razvoja organizatora, programa i sadržaja zbog čega će prilikom odabira programa Programski odbor zadržati pravo prijedloga spajanja dva ili više programa manjeg obujma te komplementarnog sadržaja u jedan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Provoditelj Javnog poziva PDCCK zadržava pravo preraspodjele programa između pojedinih programskih cjelina.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Što je uključeno?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Odabrani programi mogu koristiti prostor i svu tehničku opremu zgrade Doma kulture Jurice Muraja. Za odabrane programe PDCCK će osigurati novčanu potporu u iznosu </w:t>
      </w: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od minimalno 513,21 EUR (IZNOS PREDSTAVLJA UKUPAN TROŠAK)</w:t>
      </w: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 po programu, a isplata će biti isključivo temeljem ugovora o autorskom </w:t>
      </w: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djelu. Porez na dohodak i prirez te doprinose obračunava i plaća Naručitelj u skladu s dostavljenom potvrdom o statusu umjetničkog djelovanja, ukoliko izvoditelj istu posjeduje.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Kako prijaviti program?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Projekti se mogu prijaviti isključivo putem formulara kojemu možete pristupiti na stranici </w:t>
      </w:r>
      <w:hyperlink r:id="rId8">
        <w:r w:rsidDel="00000000" w:rsidR="00000000" w:rsidRPr="00000000">
          <w:rPr>
            <w:rFonts w:ascii="Inter" w:cs="Inter" w:eastAsia="Inter" w:hAnsi="Inter"/>
            <w:color w:val="1155cc"/>
            <w:sz w:val="24"/>
            <w:szCs w:val="24"/>
            <w:highlight w:val="white"/>
            <w:u w:val="single"/>
            <w:rtl w:val="0"/>
          </w:rPr>
          <w:t xml:space="preserve">pdcck.hr/murai</w:t>
        </w:r>
      </w:hyperlink>
      <w:r w:rsidDel="00000000" w:rsidR="00000000" w:rsidRPr="00000000">
        <w:rPr>
          <w:rFonts w:ascii="Inter" w:cs="Inter" w:eastAsia="Inter" w:hAnsi="Inter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a sama prijava šalje se na mail: </w:t>
      </w:r>
      <w:hyperlink r:id="rId9">
        <w:r w:rsidDel="00000000" w:rsidR="00000000" w:rsidRPr="00000000">
          <w:rPr>
            <w:rFonts w:ascii="Inter" w:cs="Inter" w:eastAsia="Inter" w:hAnsi="Inter"/>
            <w:color w:val="0000ff"/>
            <w:sz w:val="24"/>
            <w:szCs w:val="24"/>
            <w:u w:val="single"/>
            <w:rtl w:val="0"/>
          </w:rPr>
          <w:t xml:space="preserve">info@pdcck.hr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Inter" w:cs="Inter" w:eastAsia="Inter" w:hAnsi="Inte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Krajnji rok za prijavu je petak, 24. svibnja 2024. godine, do 23:59.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Obvezno je upisati sve tražene podatke u obrazac i popisati dokumente koji su priloženi prijavi.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Prijava se podnosi isključivo na hrvatskom jeziku. Priloženi dokumenti (životopis, opis projekta i sl.) također trebaju biti napisani na hrvatskom jeziku. Originalni dokumenti poput diplome s inozemnog sveučilišta mogu biti na engleskom ili drugom stranom jeziku. Svi traženi dokumenti moraju se priložiti zajedno s prijavom, u protivnom ona neće biti važeća. Nadopuna prijava neće se prihvaćati.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Prijave koje neće biti dostavljene u zadanom roku neće biti prihvaćene.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Objava rezultata na službenim stranicama PDCCK smatrat će se obaviješću svim prijavljenima.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Odabrani programi održavat će se jednom na mjesec, svaki mjesec jedan program, pa odabrani izvoditelji moraju biti spremni prijavljeni program održati već u siječnju 2024. godine.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Što prijava mora sadržavati?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1. Ispunjeni obrazac za prijavu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2. Životopis autora - Europass ili format po želji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3. Izjavu o starosti programa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4. Potvrdu umjetničke strukovne udruge – ako je primjenjivo 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5. Priloge (opcionalno </w:t>
      </w: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- dosadašnja postignuća i radovi, objave u medijima, na društvenim mrežama i sl.)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highlight w:val="white"/>
          <w:rtl w:val="0"/>
        </w:rPr>
        <w:t xml:space="preserve">Kako će se odabrati programi?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Programski odbor Platforme, kojeg čine stručnjaci iz područja umjetnosti i kulture, odabrat će programe najkasnije 14 dana od isteka roka za podnošenje prijava. Rok za objavu rezultata ovoga Poziva je 3 dana od donošenja odluke o odabranim programima.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Datum početka prijave: </w:t>
      </w: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rtl w:val="0"/>
        </w:rPr>
        <w:t xml:space="preserve">9.5.2024.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rtl w:val="0"/>
        </w:rPr>
        <w:t xml:space="preserve">Rok za podnošenje prijave: </w:t>
      </w:r>
      <w:r w:rsidDel="00000000" w:rsidR="00000000" w:rsidRPr="00000000">
        <w:rPr>
          <w:rFonts w:ascii="Inter" w:cs="Inter" w:eastAsia="Inter" w:hAnsi="Inter"/>
          <w:b w:val="1"/>
          <w:color w:val="001321"/>
          <w:sz w:val="24"/>
          <w:szCs w:val="24"/>
          <w:rtl w:val="0"/>
        </w:rPr>
        <w:t xml:space="preserve">24.5.2024. do 23:59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Inter" w:cs="Inter" w:eastAsia="Inter" w:hAnsi="Inter"/>
          <w:b w:val="1"/>
          <w:color w:val="0013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Za sve dodatne informacije obratite se na: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001321"/>
          <w:sz w:val="24"/>
          <w:szCs w:val="24"/>
          <w:highlight w:val="white"/>
          <w:rtl w:val="0"/>
        </w:rPr>
        <w:t xml:space="preserve">Bojana Španiček Kanoti, programska i projektna koordinatorica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Inter" w:cs="Inter" w:eastAsia="Inter" w:hAnsi="Inter"/>
          <w:color w:val="001321"/>
          <w:sz w:val="24"/>
          <w:szCs w:val="24"/>
        </w:rPr>
      </w:pPr>
      <w:hyperlink r:id="rId10">
        <w:r w:rsidDel="00000000" w:rsidR="00000000" w:rsidRPr="00000000">
          <w:rPr>
            <w:rFonts w:ascii="Inter" w:cs="Inter" w:eastAsia="Inter" w:hAnsi="Inter"/>
            <w:color w:val="0000ff"/>
            <w:sz w:val="24"/>
            <w:szCs w:val="24"/>
            <w:u w:val="single"/>
            <w:rtl w:val="0"/>
          </w:rPr>
          <w:t xml:space="preserve">bojana@pdcck.hr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368300"/>
          <wp:effectExtent b="0" l="0" r="0" t="0"/>
          <wp:docPr id="105165237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rFonts w:ascii="Inter" w:cs="Inter" w:eastAsia="Inter" w:hAnsi="Inter"/>
        <w:color w:val="000000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Inter" w:cs="Inter" w:eastAsia="Inter" w:hAnsi="Inter"/>
        <w:color w:val="000000"/>
        <w:sz w:val="18"/>
        <w:szCs w:val="18"/>
        <w:rtl w:val="0"/>
      </w:rPr>
      <w:t xml:space="preserve">PLATFORMA ZA DRUŠTVENI CENTAR ČAKOVEC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b="0" l="0" r="0" t="0"/>
          <wp:wrapSquare wrapText="bothSides" distB="0" distT="0" distL="0" distR="0"/>
          <wp:docPr id="10516523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rFonts w:ascii="Inter" w:cs="Inter" w:eastAsia="Inter" w:hAnsi="Inter"/>
        <w:color w:val="000000"/>
        <w:sz w:val="18"/>
        <w:szCs w:val="18"/>
      </w:rPr>
    </w:pPr>
    <w:r w:rsidDel="00000000" w:rsidR="00000000" w:rsidRPr="00000000">
      <w:rPr>
        <w:rFonts w:ascii="Inter" w:cs="Inter" w:eastAsia="Inter" w:hAnsi="Inter"/>
        <w:color w:val="000000"/>
        <w:sz w:val="18"/>
        <w:szCs w:val="18"/>
        <w:rtl w:val="0"/>
      </w:rPr>
      <w:t xml:space="preserve">Dr. Ivana Novaka 38 I 40 000 Čakovec I Hrvatska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OIB 08368489283 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Žiro račun HR8824020061100764338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MB 4468996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Inter" w:cs="Inter" w:eastAsia="Inter" w:hAnsi="Inte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REG.BR. 200001375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rFonts w:ascii="Inter" w:cs="Inter" w:eastAsia="Inter" w:hAnsi="Inter"/>
        <w:sz w:val="18"/>
        <w:szCs w:val="18"/>
      </w:rPr>
    </w:pPr>
    <w:hyperlink r:id="rId2">
      <w:r w:rsidDel="00000000" w:rsidR="00000000" w:rsidRPr="00000000">
        <w:rPr>
          <w:rFonts w:ascii="Inter" w:cs="Inter" w:eastAsia="Inter" w:hAnsi="Inter"/>
          <w:color w:val="1155cc"/>
          <w:sz w:val="18"/>
          <w:szCs w:val="18"/>
          <w:u w:val="single"/>
          <w:rtl w:val="0"/>
        </w:rPr>
        <w:t xml:space="preserve">info@p</w:t>
      </w:r>
    </w:hyperlink>
    <w:hyperlink r:id="rId3">
      <w:r w:rsidDel="00000000" w:rsidR="00000000" w:rsidRPr="00000000">
        <w:rPr>
          <w:rFonts w:ascii="Inter" w:cs="Inter" w:eastAsia="Inter" w:hAnsi="Inter"/>
          <w:color w:val="0000ff"/>
          <w:sz w:val="18"/>
          <w:szCs w:val="18"/>
          <w:u w:val="single"/>
          <w:rtl w:val="0"/>
        </w:rPr>
        <w:t xml:space="preserve">dcck.hr</w:t>
      </w:r>
    </w:hyperlink>
    <w:r w:rsidDel="00000000" w:rsidR="00000000" w:rsidRPr="00000000">
      <w:rPr>
        <w:rFonts w:ascii="Inter" w:cs="Inter" w:eastAsia="Inter" w:hAnsi="Inter"/>
        <w:color w:val="000000"/>
        <w:sz w:val="18"/>
        <w:szCs w:val="18"/>
        <w:rtl w:val="0"/>
      </w:rPr>
      <w:t xml:space="preserve">   |   </w:t>
    </w:r>
    <w:hyperlink r:id="rId4">
      <w:r w:rsidDel="00000000" w:rsidR="00000000" w:rsidRPr="00000000">
        <w:rPr>
          <w:rFonts w:ascii="Inter" w:cs="Inter" w:eastAsia="Inter" w:hAnsi="Inter"/>
          <w:color w:val="1155cc"/>
          <w:sz w:val="18"/>
          <w:szCs w:val="18"/>
          <w:u w:val="single"/>
          <w:rtl w:val="0"/>
        </w:rPr>
        <w:t xml:space="preserve">www.pdcck.hr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rFonts w:ascii="Roboto" w:cs="Roboto" w:eastAsia="Roboto" w:hAnsi="Roboto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veza">
    <w:name w:val="Hyperlink"/>
    <w:basedOn w:val="Zadanifontodlomka"/>
    <w:uiPriority w:val="99"/>
    <w:unhideWhenUsed w:val="1"/>
    <w:rsid w:val="0012516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B927C0"/>
    <w:rPr>
      <w:color w:val="605e5c"/>
      <w:shd w:color="auto" w:fill="e1dfdd" w:val="clear"/>
    </w:rPr>
  </w:style>
  <w:style w:type="paragraph" w:styleId="Zaglavlje">
    <w:name w:val="header"/>
    <w:basedOn w:val="Normal"/>
    <w:link w:val="ZaglavljeChar"/>
    <w:uiPriority w:val="99"/>
    <w:unhideWhenUsed w:val="1"/>
    <w:rsid w:val="00175085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75085"/>
  </w:style>
  <w:style w:type="paragraph" w:styleId="Podnoje">
    <w:name w:val="footer"/>
    <w:basedOn w:val="Normal"/>
    <w:link w:val="PodnojeChar"/>
    <w:uiPriority w:val="99"/>
    <w:unhideWhenUsed w:val="1"/>
    <w:rsid w:val="00175085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75085"/>
  </w:style>
  <w:style w:type="paragraph" w:styleId="Odlomakpopisa">
    <w:name w:val="List Paragraph"/>
    <w:basedOn w:val="Normal"/>
    <w:uiPriority w:val="34"/>
    <w:qFormat w:val="1"/>
    <w:rsid w:val="009A7097"/>
    <w:pPr>
      <w:ind w:left="720"/>
      <w:contextualSpacing w:val="1"/>
    </w:pPr>
  </w:style>
  <w:style w:type="paragraph" w:styleId="StandardWeb">
    <w:name w:val="Normal (Web)"/>
    <w:basedOn w:val="Normal"/>
    <w:uiPriority w:val="99"/>
    <w:semiHidden w:val="1"/>
    <w:unhideWhenUsed w:val="1"/>
    <w:rsid w:val="00C024D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bojana@pdcck.hr" TargetMode="External"/><Relationship Id="rId12" Type="http://schemas.openxmlformats.org/officeDocument/2006/relationships/footer" Target="footer1.xml"/><Relationship Id="rId9" Type="http://schemas.openxmlformats.org/officeDocument/2006/relationships/hyperlink" Target="mailto:info@pdcck.h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dcck.hr/murai/pravilnik-zgrade-murai/" TargetMode="External"/><Relationship Id="rId8" Type="http://schemas.openxmlformats.org/officeDocument/2006/relationships/hyperlink" Target="http://pdcck.hr/mura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pdcck.hr" TargetMode="External"/><Relationship Id="rId3" Type="http://schemas.openxmlformats.org/officeDocument/2006/relationships/hyperlink" Target="http://dcck.hr" TargetMode="External"/><Relationship Id="rId4" Type="http://schemas.openxmlformats.org/officeDocument/2006/relationships/hyperlink" Target="http://www.pdc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SwPNdWqwa5ho2icjU49TO1tBYA==">CgMxLjA4AHIhMWRrOGRvVnZQUGY4ODktTk1xV1dYUl8zVE85TkExSGJN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2023-12-06T12:06:00Z</dcterms:created>
  <dc:creator>Bojana Spanicek Kanoti</dc:creator>
</cp:coreProperties>
</file>