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b w:val="1"/>
          <w:sz w:val="52"/>
          <w:szCs w:val="52"/>
        </w:rPr>
      </w:pPr>
      <w:r w:rsidDel="00000000" w:rsidR="00000000" w:rsidRPr="00000000">
        <w:rPr>
          <w:rFonts w:ascii="Inter" w:cs="Inter" w:eastAsia="Inter" w:hAnsi="Inter"/>
          <w:b w:val="1"/>
          <w:color w:val="000000"/>
          <w:sz w:val="52"/>
          <w:szCs w:val="52"/>
          <w:rtl w:val="0"/>
        </w:rPr>
        <w:t xml:space="preserve">Kriteriji za ocjenjivanje društveno-kulturnih i umjetničkih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137.0" w:type="dxa"/>
        <w:tblLayout w:type="fixed"/>
        <w:tblLook w:val="0400"/>
      </w:tblPr>
      <w:tblGrid>
        <w:gridCol w:w="9264"/>
        <w:gridCol w:w="1084"/>
        <w:tblGridChange w:id="0">
          <w:tblGrid>
            <w:gridCol w:w="9264"/>
            <w:gridCol w:w="10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</w:tcBorders>
            <w:shd w:fill="67ccd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KRITERIJI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bottom w:color="5b9bd5" w:space="0" w:sz="4" w:val="single"/>
              <w:right w:color="5b9bd5" w:space="0" w:sz="4" w:val="single"/>
            </w:tcBorders>
            <w:shd w:fill="67ccd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BODOVI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b9bd5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c4eb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Kvaliteta programa</w:t>
            </w:r>
          </w:p>
          <w:p w:rsidR="00000000" w:rsidDel="00000000" w:rsidP="00000000" w:rsidRDefault="00000000" w:rsidRPr="00000000" w14:paraId="00000008">
            <w:pPr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1.1. Diverzitet i inkluzivnost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koliko je program otvoren različitim umjetničkim stilovima, kulturama i perspektivama. Ocjena pristupačnosti programa važna je kako bi se osiguralo da umjetnost bude dostupna svima. To uključuje fizičku pristupačnost, ali i prilike za sudjelovanje ljudi različitih sposobnosti, dobnih skupina ili socioekonomskih statusa.</w:t>
            </w:r>
          </w:p>
          <w:p w:rsidR="00000000" w:rsidDel="00000000" w:rsidP="00000000" w:rsidRDefault="00000000" w:rsidRPr="00000000" w14:paraId="0000000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1.2. Originalnost i kreativnost programa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/ koliko program potiče originalnost i kreativnost u umjetničkom izrazu. To može uključivati ​​inovativne tehnike, koncepte ili pristupe umjetnosti.</w:t>
            </w:r>
          </w:p>
          <w:p w:rsidR="00000000" w:rsidDel="00000000" w:rsidP="00000000" w:rsidRDefault="00000000" w:rsidRPr="00000000" w14:paraId="0000000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1.3. Utjecaj na publiku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kako program utječe na publiku. Može li potaknuti emocije, potaknuti razmišljanje ili potaknuti promjenu u gledateljevom pogledu na svijet?</w:t>
            </w:r>
          </w:p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1.4. Kritička analiza i kontekst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kako program tretira društvene, političke ili kulturne teme. Koliko duboko istražuje određenu temu i kako je povezuje s kontekstom vremena?</w:t>
            </w:r>
          </w:p>
          <w:p w:rsidR="00000000" w:rsidDel="00000000" w:rsidP="00000000" w:rsidRDefault="00000000" w:rsidRPr="00000000" w14:paraId="0000000D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1.5. Inovacija i eksperimentiranje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koliko program potiče inovacije i eksperimentiranje u umjetničkom procesu.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1.6. Održivost i etički aspekti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kako se umjetnički program odnosi prema održivosti, kako u smislu ekološke osviještenosti tako i u etičkom postupanju prema umjetnicima i publici.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c4eb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Izvedivost programa</w:t>
            </w:r>
          </w:p>
          <w:p w:rsidR="00000000" w:rsidDel="00000000" w:rsidP="00000000" w:rsidRDefault="00000000" w:rsidRPr="00000000" w14:paraId="00000011">
            <w:pPr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2.1. Cjelovitost i jasnoća prijave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kako je prijava programa strukturirana, jasna i potpuna. Provjerava se jesu li ciljevi programa jasno definirani, jesu li opisi aktivnosti detaljni i razumljivi te jesu li sve potrebne informacije pravilno navedene.</w:t>
            </w:r>
          </w:p>
          <w:p w:rsidR="00000000" w:rsidDel="00000000" w:rsidP="00000000" w:rsidRDefault="00000000" w:rsidRPr="00000000" w14:paraId="00000013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2.2. Provedivost programa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procjenjuje se je li program provediv s obzirom na raspoložive resurse. Pritom se uzimaju u obzir financijski aspekti, dostupnost potrebnih resursa poput prostora, opreme, vremena, ljudskih resursa te je li plan realizacije realan i izvodiv.</w:t>
            </w:r>
          </w:p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2.3. Ocjena dobivenog za uloženo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procjenjuje odnos između uloženih resursa (vremena, novca, rada) i postignutih rezultata ili učinka programa.</w:t>
            </w:r>
          </w:p>
          <w:p w:rsidR="00000000" w:rsidDel="00000000" w:rsidP="00000000" w:rsidRDefault="00000000" w:rsidRPr="00000000" w14:paraId="0000001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2.4. Fleksibilnost i prilagodljivost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koliko je program sposoban prilagoditi se promjenama u okolini ili potrebama publike. Koliko je program otporan na suočavanje s izazovima ili neočekivanim situacijama.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2.5. Suradnja i partnerstva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ima li program uspostavljene suradnje s drugim umjetničkim organizacijama, institucijama ili zajednicama. Partnerstva dodaju vrijednost programu kroz razmjenu resursa, ideja i publike.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c4eb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Stručne i umjetničke reference autora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3.1. Umjetnički doprinos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koliko je autor doprinio umjetničkoj sceni svojim radom. To može uključivati inovativnost, prepoznatljiv stil ili utjecaj njihovih umjetničkih djela na publiku ili umjetničku zajednicu</w:t>
            </w:r>
          </w:p>
          <w:p w:rsidR="00000000" w:rsidDel="00000000" w:rsidP="00000000" w:rsidRDefault="00000000" w:rsidRPr="00000000" w14:paraId="0000001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3.2. Utjecaj na umjetničku zajednicu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kako autor doprinosi razvoju umjetničke zajednice ili umjetničkog područja u kojem djeluje. Jesu li njihove aktivnosti poticajne ili inspirativne za druge umjetnike?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3.3. Kontinuirani razvoj i eksperimentiranje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koliko autor kontinuirano razvija svoj umjetnički izričaj. Eksperimentira li s novim tehnikama, temama ili pristupima?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c4eb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Relevantnost programa u odnosu na programsku cjelinu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4.1. Koliko je predloženi program tematski dosljedan programskoj cjelini u kojoj se natječe?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c4eb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shd w:fill="c4ebf2" w:val="clear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shd w:fill="c4ebf2" w:val="clear"/>
                <w:rtl w:val="0"/>
              </w:rPr>
              <w:t xml:space="preserve">Osmišljen plan djelovanja prema publici/javnosti</w:t>
            </w:r>
          </w:p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shd w:fill="c4ebf2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5.1. Uključivanje publike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ako je program interaktivne prirode, razmotri kako uključuje publiku. Omogućuje li joj da sudjeluje, postavlja pitanja ili čak mijenja ishod umjetničkog djela?</w:t>
            </w:r>
          </w:p>
          <w:p w:rsidR="00000000" w:rsidDel="00000000" w:rsidP="00000000" w:rsidRDefault="00000000" w:rsidRPr="00000000" w14:paraId="0000002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5.2. Edukacija i razvoj publike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ima li program komponentu koja educira ili razvija publiku. Umjetnički programi koji potiču razumijevanje i povećavaju interes za umjetnost imaju dugoročni utjecaj.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5.3. Feedback i evaluacija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/ postoji li sustav za prikupljanje povratnih informacija od sudionika, umjetnika i publike. Evaluacija omogućuje da se program prilagodi i poboljša.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c4eb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c4eb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shd w:fill="c4ebf2" w:val="clear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shd w:fill="c4ebf2" w:val="clear"/>
                <w:rtl w:val="0"/>
              </w:rPr>
              <w:t xml:space="preserve">UKUPNO</w:t>
            </w:r>
          </w:p>
        </w:tc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shd w:fill="c4eb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Da bi program ostvario pravo na potpisivanje ugovora, nužno je ostvariti min. 70 bodova.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720" w:left="720" w:right="720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6645600" cy="419100"/>
          <wp:effectExtent b="0" l="0" r="0" t="0"/>
          <wp:docPr id="179861193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5600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right"/>
      <w:rPr>
        <w:rFonts w:ascii="Inter" w:cs="Inter" w:eastAsia="Inter" w:hAnsi="Inter"/>
        <w:color w:val="000000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Inter" w:cs="Inter" w:eastAsia="Inter" w:hAnsi="Inter"/>
        <w:color w:val="000000"/>
        <w:sz w:val="18"/>
        <w:szCs w:val="18"/>
        <w:rtl w:val="0"/>
      </w:rPr>
      <w:t xml:space="preserve">PLATFORMA ZA DRUŠTVENI CENTAR ČAKOVEC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72420" cy="736409"/>
          <wp:effectExtent b="0" l="0" r="0" t="0"/>
          <wp:wrapSquare wrapText="bothSides" distB="0" distT="0" distL="0" distR="0"/>
          <wp:docPr id="17986119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2420" cy="73640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right"/>
      <w:rPr>
        <w:rFonts w:ascii="Inter" w:cs="Inter" w:eastAsia="Inter" w:hAnsi="Inter"/>
        <w:color w:val="000000"/>
        <w:sz w:val="18"/>
        <w:szCs w:val="18"/>
      </w:rPr>
    </w:pPr>
    <w:r w:rsidDel="00000000" w:rsidR="00000000" w:rsidRPr="00000000">
      <w:rPr>
        <w:rFonts w:ascii="Inter" w:cs="Inter" w:eastAsia="Inter" w:hAnsi="Inter"/>
        <w:color w:val="000000"/>
        <w:sz w:val="18"/>
        <w:szCs w:val="18"/>
        <w:rtl w:val="0"/>
      </w:rPr>
      <w:t xml:space="preserve">Dr. Ivana Novaka 38 I 40 000 Čakovec I Hrvatska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OIB 08368489283 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Žiro račun HR8824020061100764338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MB 4468996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REG.BR. 200001375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right"/>
      <w:rPr>
        <w:rFonts w:ascii="Inter" w:cs="Inter" w:eastAsia="Inter" w:hAnsi="Inter"/>
        <w:color w:val="1155cc"/>
        <w:sz w:val="18"/>
        <w:szCs w:val="18"/>
        <w:u w:val="single"/>
      </w:rPr>
    </w:pPr>
    <w:hyperlink r:id="rId2">
      <w:r w:rsidDel="00000000" w:rsidR="00000000" w:rsidRPr="00000000">
        <w:rPr>
          <w:rFonts w:ascii="Inter" w:cs="Inter" w:eastAsia="Inter" w:hAnsi="Inter"/>
          <w:color w:val="1155cc"/>
          <w:sz w:val="18"/>
          <w:szCs w:val="18"/>
          <w:u w:val="single"/>
          <w:rtl w:val="0"/>
        </w:rPr>
        <w:t xml:space="preserve">info@p</w:t>
      </w:r>
    </w:hyperlink>
    <w:hyperlink r:id="rId3">
      <w:r w:rsidDel="00000000" w:rsidR="00000000" w:rsidRPr="00000000">
        <w:rPr>
          <w:rFonts w:ascii="Inter" w:cs="Inter" w:eastAsia="Inter" w:hAnsi="Inter"/>
          <w:color w:val="0000ff"/>
          <w:sz w:val="18"/>
          <w:szCs w:val="18"/>
          <w:u w:val="single"/>
          <w:rtl w:val="0"/>
        </w:rPr>
        <w:t xml:space="preserve">dcck.hr</w:t>
      </w:r>
    </w:hyperlink>
    <w:r w:rsidDel="00000000" w:rsidR="00000000" w:rsidRPr="00000000">
      <w:rPr>
        <w:rFonts w:ascii="Inter" w:cs="Inter" w:eastAsia="Inter" w:hAnsi="Inter"/>
        <w:color w:val="000000"/>
        <w:sz w:val="18"/>
        <w:szCs w:val="18"/>
        <w:rtl w:val="0"/>
      </w:rPr>
      <w:t xml:space="preserve">   |   </w:t>
    </w:r>
    <w:hyperlink r:id="rId4">
      <w:r w:rsidDel="00000000" w:rsidR="00000000" w:rsidRPr="00000000">
        <w:rPr>
          <w:rFonts w:ascii="Inter" w:cs="Inter" w:eastAsia="Inter" w:hAnsi="Inter"/>
          <w:color w:val="0000ff"/>
          <w:sz w:val="18"/>
          <w:szCs w:val="18"/>
          <w:u w:val="single"/>
          <w:rtl w:val="0"/>
        </w:rPr>
        <w:t xml:space="preserve">www.pdcck.hr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right"/>
      <w:rPr>
        <w:rFonts w:ascii="Inter" w:cs="Inter" w:eastAsia="Inter" w:hAnsi="Inter"/>
        <w:color w:val="1155cc"/>
        <w:sz w:val="18"/>
        <w:szCs w:val="18"/>
        <w:u w:val="singl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andardWeb">
    <w:name w:val="Normal (Web)"/>
    <w:basedOn w:val="Normal"/>
    <w:uiPriority w:val="99"/>
    <w:semiHidden w:val="1"/>
    <w:unhideWhenUsed w:val="1"/>
    <w:rsid w:val="009E189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" w:customStyle="1">
    <w:basedOn w:val="Obinatablica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Zaglavlje">
    <w:name w:val="header"/>
    <w:basedOn w:val="Normal"/>
    <w:link w:val="ZaglavljeChar"/>
    <w:uiPriority w:val="99"/>
    <w:semiHidden w:val="1"/>
    <w:unhideWhenUsed w:val="1"/>
    <w:rsid w:val="005818AE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semiHidden w:val="1"/>
    <w:rsid w:val="005818AE"/>
  </w:style>
  <w:style w:type="character" w:styleId="Hiperveza">
    <w:name w:val="Hyperlink"/>
    <w:basedOn w:val="Zadanifontodlomka"/>
    <w:uiPriority w:val="99"/>
    <w:unhideWhenUsed w:val="1"/>
    <w:rsid w:val="005818A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 w:val="1"/>
    <w:unhideWhenUsed w:val="1"/>
    <w:rsid w:val="005818AE"/>
    <w:rPr>
      <w:color w:val="605e5c"/>
      <w:shd w:color="auto" w:fill="e1dfdd" w:val="clear"/>
    </w:rPr>
  </w:style>
  <w:style w:type="paragraph" w:styleId="Odlomakpopisa">
    <w:name w:val="List Paragraph"/>
    <w:basedOn w:val="Normal"/>
    <w:uiPriority w:val="34"/>
    <w:qFormat w:val="1"/>
    <w:rsid w:val="008C3F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pdcck.hr" TargetMode="External"/><Relationship Id="rId3" Type="http://schemas.openxmlformats.org/officeDocument/2006/relationships/hyperlink" Target="http://dcck.hr" TargetMode="External"/><Relationship Id="rId4" Type="http://schemas.openxmlformats.org/officeDocument/2006/relationships/hyperlink" Target="http://www.pdcc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JPbl6Kstqnxwhvwv3Ncko0+nHQ==">CgMxLjA4AHIhMUc0SmdIVHNaR0NzTXJBcE5CV0FxR0FfNlRjUVJLc2xG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2023-12-04T12:29:00Z</dcterms:created>
  <dc:creator>Tena</dc:creator>
</cp:coreProperties>
</file>