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522B" w14:textId="77777777" w:rsidR="00FB53FC" w:rsidRDefault="00FB53FC">
      <w:pPr>
        <w:rPr>
          <w:rFonts w:ascii="Times New Roman" w:eastAsia="Times New Roman" w:hAnsi="Times New Roman" w:cs="Times New Roman"/>
        </w:rPr>
      </w:pPr>
    </w:p>
    <w:p w14:paraId="57100101" w14:textId="77777777" w:rsidR="00FB53FC" w:rsidRPr="005D3E47" w:rsidRDefault="00000000" w:rsidP="005D3E47">
      <w:pPr>
        <w:rPr>
          <w:rFonts w:ascii="Inter" w:eastAsia="Times New Roman" w:hAnsi="Inter" w:cs="Times New Roman"/>
          <w:b/>
          <w:bCs/>
          <w:sz w:val="52"/>
          <w:szCs w:val="52"/>
        </w:rPr>
      </w:pPr>
      <w:r w:rsidRPr="005D3E47">
        <w:rPr>
          <w:rFonts w:ascii="Inter" w:eastAsia="Big Shoulders Text" w:hAnsi="Inter" w:cs="Big Shoulders Text"/>
          <w:b/>
          <w:bCs/>
          <w:color w:val="000000"/>
          <w:sz w:val="52"/>
          <w:szCs w:val="52"/>
        </w:rPr>
        <w:t>Kriteriji za ocjenjivanje društveno-kulturnih i umjetničkih programa</w:t>
      </w:r>
    </w:p>
    <w:p w14:paraId="4E224F8D" w14:textId="77777777" w:rsidR="00FB53FC" w:rsidRDefault="00FB53FC">
      <w:pPr>
        <w:rPr>
          <w:rFonts w:ascii="Times New Roman" w:eastAsia="Times New Roman" w:hAnsi="Times New Roman" w:cs="Times New Roman"/>
        </w:rPr>
      </w:pPr>
    </w:p>
    <w:p w14:paraId="1552A24D" w14:textId="77777777" w:rsidR="00FB53FC" w:rsidRDefault="00FB53FC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348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9264"/>
        <w:gridCol w:w="1084"/>
      </w:tblGrid>
      <w:tr w:rsidR="00FB53FC" w14:paraId="0A29F215" w14:textId="77777777">
        <w:tc>
          <w:tcPr>
            <w:tcW w:w="926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67CC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21CA" w14:textId="77777777" w:rsidR="00FB53F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KRITERIJI</w:t>
            </w:r>
          </w:p>
        </w:tc>
        <w:tc>
          <w:tcPr>
            <w:tcW w:w="1084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67CC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169B" w14:textId="77777777" w:rsidR="00FB53F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BODOVI</w:t>
            </w:r>
          </w:p>
        </w:tc>
      </w:tr>
      <w:tr w:rsidR="00FB53FC" w14:paraId="1C7ECE3B" w14:textId="77777777">
        <w:tc>
          <w:tcPr>
            <w:tcW w:w="9264" w:type="dxa"/>
            <w:tcBorders>
              <w:top w:val="single" w:sz="4" w:space="0" w:color="5B9BD5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4EB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FD6D" w14:textId="138BCF85" w:rsidR="00C07A44" w:rsidRPr="008C3F5C" w:rsidRDefault="00C07A44" w:rsidP="008C3F5C">
            <w:pP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 w:rsidRPr="008C3F5C"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Kvaliteta programa</w:t>
            </w:r>
          </w:p>
          <w:p w14:paraId="2D1483C6" w14:textId="77777777" w:rsidR="00B56D2D" w:rsidRDefault="00B56D2D">
            <w:pP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  <w:p w14:paraId="1B41B177" w14:textId="66FE184A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1.1. </w:t>
            </w:r>
            <w:proofErr w:type="spellStart"/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Diverzitet</w:t>
            </w:r>
            <w:proofErr w:type="spellEnd"/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 i </w:t>
            </w:r>
            <w:r w:rsidR="005D659F"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i</w:t>
            </w: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nkluzivnost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koliko je program otvoren različitim umjetničkim stilovima, kulturama i perspektivama. Ocjena pristupačnosti programa važna je </w:t>
            </w:r>
            <w:r w:rsidR="005D659F">
              <w:rPr>
                <w:rFonts w:ascii="Roboto" w:eastAsia="Times New Roman" w:hAnsi="Roboto" w:cs="Times New Roman"/>
                <w:sz w:val="22"/>
                <w:szCs w:val="22"/>
              </w:rPr>
              <w:t xml:space="preserve">kako bi se osiguralo da umjetnost bude dostupna svima. 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>To uključuje fizičku pristupačnost, ali i prilike za sudjelovanje ljudi različitih sposobnosti, dobnih skupina ili socioekonomskih statusa.</w:t>
            </w:r>
          </w:p>
          <w:p w14:paraId="32432DCE" w14:textId="79B2F1FE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1.2. Originalnost i kreativnost programa 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>/ koliko program potiče originalnost i kreativnost u umjetničkom izrazu. To može uključivati ​​inovativne tehnike, koncepte ili pristupe umjetnosti.</w:t>
            </w:r>
            <w:r w:rsidR="00415BA8">
              <w:rPr>
                <w:rFonts w:ascii="Roboto" w:eastAsia="Times New Roman" w:hAnsi="Roboto" w:cs="Times New Roman"/>
                <w:sz w:val="22"/>
                <w:szCs w:val="22"/>
              </w:rPr>
              <w:t xml:space="preserve"> Je li prijavitelj već prethodno kao izvoditelj sudjelovao u projektu Murai 2.00 (sezona 2024.)</w:t>
            </w:r>
          </w:p>
          <w:p w14:paraId="2B5D3A7A" w14:textId="5E268DB4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1.3. Utjecaj na </w:t>
            </w:r>
            <w:r w:rsid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p</w:t>
            </w: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ubliku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kako program utječe na publiku. Može li potaknuti emocije, potaknuti razmišljanje ili potaknuti promjenu u gledateljevom pogledu na svijet?</w:t>
            </w:r>
          </w:p>
          <w:p w14:paraId="6F484F81" w14:textId="06B4A99A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1.4. Kritička </w:t>
            </w:r>
            <w:r w:rsidR="005D659F"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a</w:t>
            </w: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naliza i </w:t>
            </w:r>
            <w:r w:rsidR="005D659F"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k</w:t>
            </w: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ontekst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kako program tretira društvene, političke ili kulturne teme. Koliko duboko istražuje određenu temu i kako je povezuje s kontekstom vremena?</w:t>
            </w:r>
          </w:p>
          <w:p w14:paraId="0139C05D" w14:textId="52F26251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1.5. Inovacija i </w:t>
            </w:r>
            <w:r w:rsid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e</w:t>
            </w: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ksperimentiranje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koliko program potiče inovacije i eksperimentiranje u umjetničkom procesu</w:t>
            </w:r>
          </w:p>
          <w:p w14:paraId="20E92F8F" w14:textId="514C3AF5" w:rsidR="00FB53FC" w:rsidRDefault="00C07A44" w:rsidP="00C07A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1.6. Održivost i </w:t>
            </w:r>
            <w:r w:rsid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e</w:t>
            </w: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tički </w:t>
            </w:r>
            <w:r w:rsid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a</w:t>
            </w: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spekti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kako se umjetnički program odnosi prema održivosti, kako u smislu ekološke osviještenosti tako i u etičkom postupanju prema umjetnicima i publici.</w:t>
            </w:r>
          </w:p>
        </w:tc>
        <w:tc>
          <w:tcPr>
            <w:tcW w:w="1084" w:type="dxa"/>
            <w:tcBorders>
              <w:top w:val="single" w:sz="4" w:space="0" w:color="5B9BD5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4EB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57CB" w14:textId="772B3C76" w:rsidR="00FB53FC" w:rsidRDefault="00C07A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3</w:t>
            </w:r>
            <w:r w:rsidR="00415BA8">
              <w:rPr>
                <w:rFonts w:ascii="Roboto" w:eastAsia="Roboto" w:hAnsi="Roboto" w:cs="Roboto"/>
                <w:color w:val="000000"/>
                <w:sz w:val="22"/>
                <w:szCs w:val="22"/>
              </w:rPr>
              <w:t>5</w:t>
            </w:r>
          </w:p>
        </w:tc>
      </w:tr>
      <w:tr w:rsidR="00FB53FC" w14:paraId="5DD5FFF1" w14:textId="77777777">
        <w:tc>
          <w:tcPr>
            <w:tcW w:w="92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496F" w14:textId="433DFEBA" w:rsidR="00FB53FC" w:rsidRDefault="00C07A44">
            <w:pP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 w:rsidRPr="00C07A44"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Izvedivost programa</w:t>
            </w:r>
          </w:p>
          <w:p w14:paraId="1DD063FF" w14:textId="77777777" w:rsidR="00B56D2D" w:rsidRDefault="00B56D2D">
            <w:pP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</w:p>
          <w:p w14:paraId="174548AC" w14:textId="747EB785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2.1. Cjelovitost i jasnoća prijave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kako je prijava programa strukturirana, jasna i potpuna. Provjerava se jesu li ciljevi programa jasno definirani, jesu li opisi aktivnosti detaljni i razumljivi te jesu li sve potrebne informacije pravilno navedene.</w:t>
            </w:r>
          </w:p>
          <w:p w14:paraId="06D0F49E" w14:textId="100377C4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5D659F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2.2. Provedivost programa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procjenjuje </w:t>
            </w:r>
            <w:r w:rsidR="005D659F">
              <w:rPr>
                <w:rFonts w:ascii="Roboto" w:eastAsia="Times New Roman" w:hAnsi="Roboto" w:cs="Times New Roman"/>
                <w:sz w:val="22"/>
                <w:szCs w:val="22"/>
              </w:rPr>
              <w:t xml:space="preserve">se 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je li program provediv s obzirom na </w:t>
            </w:r>
            <w:r w:rsidR="005D659F">
              <w:rPr>
                <w:rFonts w:ascii="Roboto" w:eastAsia="Times New Roman" w:hAnsi="Roboto" w:cs="Times New Roman"/>
                <w:sz w:val="22"/>
                <w:szCs w:val="22"/>
              </w:rPr>
              <w:t xml:space="preserve">raspoložive 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>resurse. Pritom se uzimaju u obzir financijski aspekti, dostupnost potrebnih resursa poput prostora, opreme, vremena, ljudskih resursa te je li plan realizacije realan i izvodiv.</w:t>
            </w:r>
          </w:p>
          <w:p w14:paraId="2A43131C" w14:textId="33636609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2.3. Ocjena dobivenog za uloženo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procjenjuje odnos između uloženih resursa (vremena, novca, rada) i postignutih rezultata ili učinka programa.</w:t>
            </w:r>
          </w:p>
          <w:p w14:paraId="5F96C846" w14:textId="5CC647A4" w:rsidR="00FB53FC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2.4. Fleksibilnost i </w:t>
            </w:r>
            <w:r w:rsidR="00B56D2D"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p</w:t>
            </w: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rilagodljivost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koliko je program sposoban prilagoditi se promjenama u okolini ili potrebama publike. Koliko je program otporan na suočavanje s izazovima ili neočekivanim situacijama.</w:t>
            </w:r>
          </w:p>
          <w:p w14:paraId="7FB60CD9" w14:textId="3A386451" w:rsidR="00C07A44" w:rsidRDefault="00C07A44" w:rsidP="00C07A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2.5. Suradnja i </w:t>
            </w:r>
            <w:r w:rsidR="00B56D2D"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p</w:t>
            </w: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artnerstva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ima li program uspostavljene suradnje s drugim umjetničkim organizacijama, institucijama ili zajednicama. Partnerstva dodaju vrijednost programu kroz razmjenu resursa, ideja i publike.</w:t>
            </w:r>
          </w:p>
        </w:tc>
        <w:tc>
          <w:tcPr>
            <w:tcW w:w="108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E5C2" w14:textId="2EA4C43F" w:rsidR="00FB53FC" w:rsidRDefault="00C07A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25</w:t>
            </w:r>
          </w:p>
        </w:tc>
      </w:tr>
      <w:tr w:rsidR="00FB53FC" w14:paraId="09DA8B90" w14:textId="77777777">
        <w:tc>
          <w:tcPr>
            <w:tcW w:w="92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4EB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B0CA" w14:textId="77777777" w:rsidR="00FB53FC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Stručne i umjetničke reference autora</w:t>
            </w:r>
          </w:p>
          <w:p w14:paraId="2F333955" w14:textId="77777777" w:rsidR="00FB53FC" w:rsidRDefault="00FB5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7F01E2" w14:textId="0D9D20BA" w:rsidR="00FB53FC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3.1. Umjetnički </w:t>
            </w:r>
            <w:r w:rsidR="00B56D2D"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d</w:t>
            </w: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oprinos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koliko je autor doprinio umjetničkoj sceni svojim radom. To može uključivati inovativnost, prepoznatljiv stil ili utjecaj njihovih umjetničkih djela na publiku ili umjetničku zajednicu</w:t>
            </w:r>
          </w:p>
          <w:p w14:paraId="6AE30160" w14:textId="7CB311D6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lastRenderedPageBreak/>
              <w:t xml:space="preserve">3.2. Utjecaj na </w:t>
            </w:r>
            <w:r w:rsidR="00B56D2D"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u</w:t>
            </w: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mjetničku </w:t>
            </w:r>
            <w:r w:rsidR="00B56D2D"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z</w:t>
            </w: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ajednicu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kako autor doprinosi razvoju umjetničke zajednice ili umjetničkog područja u kojem djeluje. Jesu li njihove aktivnosti poticajne ili inspirativne za druge umjetnike?</w:t>
            </w:r>
          </w:p>
          <w:p w14:paraId="5B2B46C5" w14:textId="3B092070" w:rsidR="00C07A44" w:rsidRDefault="00C07A44" w:rsidP="00C07A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3.3. Kontinuirani </w:t>
            </w:r>
            <w:r w:rsidR="00B56D2D"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r</w:t>
            </w: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azvoj i </w:t>
            </w:r>
            <w:r w:rsidR="00B56D2D"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e</w:t>
            </w: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ksperimentiranje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koliko autor kontinuirano razvija svoj umjetnički izričaj. </w:t>
            </w:r>
            <w:r w:rsidR="00B56D2D">
              <w:rPr>
                <w:rFonts w:ascii="Roboto" w:eastAsia="Times New Roman" w:hAnsi="Roboto" w:cs="Times New Roman"/>
                <w:sz w:val="22"/>
                <w:szCs w:val="22"/>
              </w:rPr>
              <w:t>E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>ksperimentira</w:t>
            </w:r>
            <w:r w:rsidR="00B56D2D">
              <w:rPr>
                <w:rFonts w:ascii="Roboto" w:eastAsia="Times New Roman" w:hAnsi="Roboto" w:cs="Times New Roman"/>
                <w:sz w:val="22"/>
                <w:szCs w:val="22"/>
              </w:rPr>
              <w:t xml:space="preserve"> li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s novim tehnikama, temama ili pristupima?</w:t>
            </w:r>
          </w:p>
        </w:tc>
        <w:tc>
          <w:tcPr>
            <w:tcW w:w="108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4EB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EC0E" w14:textId="020963AE" w:rsidR="00FB53FC" w:rsidRDefault="00C07A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lastRenderedPageBreak/>
              <w:t>15</w:t>
            </w:r>
          </w:p>
        </w:tc>
      </w:tr>
      <w:tr w:rsidR="00FB53FC" w14:paraId="1F2D64A3" w14:textId="77777777">
        <w:tc>
          <w:tcPr>
            <w:tcW w:w="92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A190" w14:textId="3A0669F6" w:rsidR="00FB53FC" w:rsidRDefault="00C07A44">
            <w:pPr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</w:pPr>
            <w:r w:rsidRPr="00C07A44"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Relevantnost programa u odnosu na programsku cjelinu</w:t>
            </w:r>
          </w:p>
          <w:p w14:paraId="7F80F786" w14:textId="77777777" w:rsidR="00C07A44" w:rsidRDefault="00C07A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BEEE87" w14:textId="682E2AFF" w:rsidR="00FB53FC" w:rsidRPr="00B56D2D" w:rsidRDefault="00C07A44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4.1. Koliko</w:t>
            </w:r>
            <w:r w:rsidR="00CB359D"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 xml:space="preserve"> je</w:t>
            </w:r>
            <w:r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 xml:space="preserve"> predloženi program </w:t>
            </w:r>
            <w:r w:rsidR="00CB359D"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tematski dosljedan</w:t>
            </w:r>
            <w:r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 xml:space="preserve"> programsk</w:t>
            </w:r>
            <w:r w:rsidR="00CB359D"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 xml:space="preserve">oj </w:t>
            </w:r>
            <w:r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cjelin</w:t>
            </w:r>
            <w:r w:rsidR="00CB359D"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i</w:t>
            </w:r>
            <w:r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 xml:space="preserve"> u kojoj se natječe</w:t>
            </w:r>
            <w:r w:rsidR="00B56D2D" w:rsidRPr="00B56D2D">
              <w:rPr>
                <w:rFonts w:ascii="Roboto" w:eastAsia="Roboto" w:hAnsi="Roboto" w:cs="Roboto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108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6304" w14:textId="3D41C5EE" w:rsidR="00FB53FC" w:rsidRDefault="00C07A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15</w:t>
            </w:r>
          </w:p>
          <w:p w14:paraId="2AD09694" w14:textId="77777777" w:rsidR="00FB53FC" w:rsidRDefault="00FB53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B53FC" w14:paraId="3A091669" w14:textId="77777777">
        <w:tc>
          <w:tcPr>
            <w:tcW w:w="92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4EB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6A35" w14:textId="77777777" w:rsidR="00FB53FC" w:rsidRDefault="00C07A44">
            <w:pPr>
              <w:rPr>
                <w:rFonts w:ascii="Roboto" w:eastAsia="Roboto" w:hAnsi="Roboto" w:cs="Roboto"/>
                <w:b/>
                <w:color w:val="000000"/>
                <w:sz w:val="22"/>
                <w:szCs w:val="22"/>
                <w:shd w:val="clear" w:color="auto" w:fill="C4EBF2"/>
              </w:rPr>
            </w:pPr>
            <w:r w:rsidRPr="00C07A44">
              <w:rPr>
                <w:rFonts w:ascii="Roboto" w:eastAsia="Roboto" w:hAnsi="Roboto" w:cs="Roboto"/>
                <w:b/>
                <w:color w:val="000000"/>
                <w:sz w:val="22"/>
                <w:szCs w:val="22"/>
                <w:shd w:val="clear" w:color="auto" w:fill="C4EBF2"/>
              </w:rPr>
              <w:t>Osmišljen plan djelovanja prema publici/javnosti</w:t>
            </w:r>
          </w:p>
          <w:p w14:paraId="62AAF256" w14:textId="77777777" w:rsidR="00C07A44" w:rsidRDefault="00C07A44">
            <w:pPr>
              <w:rPr>
                <w:rFonts w:ascii="Roboto" w:eastAsia="Roboto" w:hAnsi="Roboto" w:cs="Roboto"/>
                <w:b/>
                <w:color w:val="000000"/>
                <w:sz w:val="22"/>
                <w:szCs w:val="22"/>
                <w:shd w:val="clear" w:color="auto" w:fill="C4EBF2"/>
              </w:rPr>
            </w:pPr>
          </w:p>
          <w:p w14:paraId="697E7D41" w14:textId="46EF955B" w:rsidR="00C07A44" w:rsidRPr="00C07A44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5.1. Uključivanje publike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ako je program interaktivne prirode, razmotri kako uključuje publiku. Omogućuje li </w:t>
            </w:r>
            <w:r w:rsidR="00B56D2D">
              <w:rPr>
                <w:rFonts w:ascii="Roboto" w:eastAsia="Times New Roman" w:hAnsi="Roboto" w:cs="Times New Roman"/>
                <w:sz w:val="22"/>
                <w:szCs w:val="22"/>
              </w:rPr>
              <w:t>joj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da sudjeluj</w:t>
            </w:r>
            <w:r w:rsidR="00B56D2D">
              <w:rPr>
                <w:rFonts w:ascii="Roboto" w:eastAsia="Times New Roman" w:hAnsi="Roboto" w:cs="Times New Roman"/>
                <w:sz w:val="22"/>
                <w:szCs w:val="22"/>
              </w:rPr>
              <w:t>e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>, postavlj</w:t>
            </w:r>
            <w:r w:rsidR="00B56D2D">
              <w:rPr>
                <w:rFonts w:ascii="Roboto" w:eastAsia="Times New Roman" w:hAnsi="Roboto" w:cs="Times New Roman"/>
                <w:sz w:val="22"/>
                <w:szCs w:val="22"/>
              </w:rPr>
              <w:t>a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pitanja ili čak mijenja ishod umjetničkog djela?</w:t>
            </w:r>
          </w:p>
          <w:p w14:paraId="2B7A95E3" w14:textId="06A493DD" w:rsidR="00C07A44" w:rsidRPr="00415BA8" w:rsidRDefault="00C07A44">
            <w:pPr>
              <w:rPr>
                <w:rFonts w:ascii="Roboto" w:eastAsia="Times New Roman" w:hAnsi="Roboto" w:cs="Times New Roman"/>
                <w:sz w:val="22"/>
                <w:szCs w:val="22"/>
              </w:rPr>
            </w:pP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 xml:space="preserve">5.2. Edukacija i </w:t>
            </w:r>
            <w:r w:rsid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r</w:t>
            </w:r>
            <w:r w:rsidRPr="00B56D2D">
              <w:rPr>
                <w:rFonts w:ascii="Roboto" w:eastAsia="Times New Roman" w:hAnsi="Roboto" w:cs="Times New Roman"/>
                <w:b/>
                <w:bCs/>
                <w:sz w:val="22"/>
                <w:szCs w:val="22"/>
              </w:rPr>
              <w:t>azvoj publike</w:t>
            </w:r>
            <w:r w:rsidRPr="00C07A44">
              <w:rPr>
                <w:rFonts w:ascii="Roboto" w:eastAsia="Times New Roman" w:hAnsi="Roboto" w:cs="Times New Roman"/>
                <w:sz w:val="22"/>
                <w:szCs w:val="22"/>
              </w:rPr>
              <w:t xml:space="preserve"> / ima li program komponentu koja educira ili razvija publiku. Umjetnički programi koji potiču razumijevanje i povećavaju interes za umjetnost imaju dugoročni utjecaj.</w:t>
            </w:r>
          </w:p>
        </w:tc>
        <w:tc>
          <w:tcPr>
            <w:tcW w:w="108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C4EB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E2AF" w14:textId="2D905722" w:rsidR="00FB53FC" w:rsidRDefault="00C07A4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1</w:t>
            </w:r>
            <w:r w:rsidR="00415BA8">
              <w:rPr>
                <w:rFonts w:ascii="Roboto" w:eastAsia="Roboto" w:hAnsi="Roboto" w:cs="Roboto"/>
                <w:color w:val="000000"/>
                <w:sz w:val="22"/>
                <w:szCs w:val="22"/>
              </w:rPr>
              <w:t>0</w:t>
            </w:r>
          </w:p>
        </w:tc>
      </w:tr>
      <w:tr w:rsidR="00FB53FC" w14:paraId="15AFC06D" w14:textId="77777777" w:rsidTr="00415BA8">
        <w:tc>
          <w:tcPr>
            <w:tcW w:w="92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94E3" w14:textId="77777777" w:rsidR="00FB53FC" w:rsidRDefault="00000000">
            <w:pPr>
              <w:rPr>
                <w:rFonts w:ascii="Roboto" w:eastAsia="Roboto" w:hAnsi="Roboto" w:cs="Roboto"/>
                <w:b/>
                <w:color w:val="000000"/>
                <w:sz w:val="22"/>
                <w:szCs w:val="22"/>
                <w:shd w:val="clear" w:color="auto" w:fill="C4EBF2"/>
              </w:rPr>
            </w:pPr>
            <w:r w:rsidRPr="00415BA8">
              <w:rPr>
                <w:rFonts w:ascii="Roboto" w:eastAsia="Roboto" w:hAnsi="Roboto" w:cs="Roboto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08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7AAA" w14:textId="406CBD4B" w:rsidR="00FB53FC" w:rsidRDefault="00C07A44">
            <w:pPr>
              <w:rPr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 w:val="22"/>
                <w:szCs w:val="22"/>
              </w:rPr>
              <w:t>100</w:t>
            </w:r>
          </w:p>
        </w:tc>
      </w:tr>
    </w:tbl>
    <w:p w14:paraId="1275C1F5" w14:textId="77777777" w:rsidR="00FB53FC" w:rsidRDefault="00FB53FC">
      <w:pPr>
        <w:rPr>
          <w:b/>
        </w:rPr>
      </w:pPr>
    </w:p>
    <w:p w14:paraId="4A9E9BDC" w14:textId="77777777" w:rsidR="00FB53FC" w:rsidRDefault="00FB53FC">
      <w:pPr>
        <w:rPr>
          <w:b/>
        </w:rPr>
      </w:pPr>
    </w:p>
    <w:p w14:paraId="6C8D9F5B" w14:textId="4828F7EB" w:rsidR="005D659F" w:rsidRPr="005D659F" w:rsidRDefault="005D659F">
      <w:pPr>
        <w:rPr>
          <w:rFonts w:ascii="Inter" w:hAnsi="Inter"/>
          <w:b/>
        </w:rPr>
      </w:pPr>
      <w:r>
        <w:rPr>
          <w:rFonts w:ascii="Inter" w:hAnsi="Inter"/>
          <w:b/>
        </w:rPr>
        <w:t xml:space="preserve">Da bi program ostvario pravo na potpisivanje ugovora, nužno je </w:t>
      </w:r>
      <w:r w:rsidR="00B56D2D">
        <w:rPr>
          <w:rFonts w:ascii="Inter" w:hAnsi="Inter"/>
          <w:b/>
        </w:rPr>
        <w:t>ostvariti</w:t>
      </w:r>
      <w:r>
        <w:rPr>
          <w:rFonts w:ascii="Inter" w:hAnsi="Inter"/>
          <w:b/>
        </w:rPr>
        <w:t xml:space="preserve"> min. 70 bodova.</w:t>
      </w:r>
    </w:p>
    <w:p w14:paraId="7F84E9C9" w14:textId="53696D11" w:rsidR="00FB53FC" w:rsidRDefault="00FB53FC" w:rsidP="005D659F">
      <w:pPr>
        <w:rPr>
          <w:rFonts w:ascii="Roboto" w:eastAsia="Roboto" w:hAnsi="Roboto" w:cs="Roboto"/>
        </w:rPr>
      </w:pPr>
    </w:p>
    <w:sectPr w:rsidR="00FB5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B8C6" w14:textId="77777777" w:rsidR="00EC5222" w:rsidRDefault="00EC5222">
      <w:r>
        <w:separator/>
      </w:r>
    </w:p>
  </w:endnote>
  <w:endnote w:type="continuationSeparator" w:id="0">
    <w:p w14:paraId="2D6716EE" w14:textId="77777777" w:rsidR="00EC5222" w:rsidRDefault="00EC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Big Shoulders Text">
    <w:altName w:val="Calibri"/>
    <w:charset w:val="00"/>
    <w:family w:val="auto"/>
    <w:pitch w:val="variable"/>
    <w:sig w:usb0="A00000FF" w:usb1="4000A07B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3F45" w14:textId="77777777" w:rsidR="00FB53FC" w:rsidRDefault="00FB5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D5470" w14:textId="743167F0" w:rsidR="00FB53FC" w:rsidRDefault="009E21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66D5295" wp14:editId="6A265B7A">
          <wp:extent cx="6645910" cy="652780"/>
          <wp:effectExtent l="0" t="0" r="2540" b="0"/>
          <wp:docPr id="179861193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611936" name="Slika 17986119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D22C" w14:textId="77777777" w:rsidR="00FB53FC" w:rsidRDefault="00FB5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F93C" w14:textId="77777777" w:rsidR="00EC5222" w:rsidRDefault="00EC5222">
      <w:r>
        <w:separator/>
      </w:r>
    </w:p>
  </w:footnote>
  <w:footnote w:type="continuationSeparator" w:id="0">
    <w:p w14:paraId="6E5CAA17" w14:textId="77777777" w:rsidR="00EC5222" w:rsidRDefault="00EC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11A3" w14:textId="77777777" w:rsidR="00FB53FC" w:rsidRDefault="00FB5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9BE0B" w14:textId="77777777" w:rsidR="005818AE" w:rsidRPr="00474187" w:rsidRDefault="005818AE" w:rsidP="005818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Inter" w:hAnsi="Inter"/>
        <w:color w:val="000000"/>
        <w:sz w:val="18"/>
        <w:szCs w:val="18"/>
      </w:rPr>
    </w:pPr>
    <w:r>
      <w:rPr>
        <w:noProof/>
        <w:lang w:val="en-US" w:eastAsia="en-US"/>
      </w:rPr>
      <w:drawing>
        <wp:anchor distT="0" distB="0" distL="0" distR="0" simplePos="0" relativeHeight="251659264" behindDoc="0" locked="0" layoutInCell="1" hidden="0" allowOverlap="1" wp14:anchorId="013B58BF" wp14:editId="5CC84AC9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2272420" cy="736409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2420" cy="7364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Roboto" w:hAnsi="Roboto"/>
        <w:color w:val="000000"/>
        <w:sz w:val="20"/>
        <w:szCs w:val="20"/>
      </w:rPr>
      <w:t xml:space="preserve"> </w:t>
    </w:r>
    <w:r w:rsidRPr="00474187">
      <w:rPr>
        <w:rFonts w:ascii="Inter" w:hAnsi="Inter"/>
        <w:color w:val="000000"/>
        <w:sz w:val="18"/>
        <w:szCs w:val="18"/>
      </w:rPr>
      <w:t>PLATFORMA ZA DRUŠTVENI CENTAR ČAKOVEC</w:t>
    </w:r>
  </w:p>
  <w:p w14:paraId="0DACA921" w14:textId="77777777" w:rsidR="005818AE" w:rsidRPr="00474187" w:rsidRDefault="005818AE" w:rsidP="005818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Inter" w:hAnsi="Inter"/>
        <w:color w:val="000000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>Dr. Ivana Novaka 38 I 40 000 Čakovec I Hrvatska</w:t>
    </w:r>
  </w:p>
  <w:p w14:paraId="33E11781" w14:textId="77777777" w:rsidR="005818AE" w:rsidRPr="00474187" w:rsidRDefault="005818AE" w:rsidP="005818AE">
    <w:pPr>
      <w:pStyle w:val="StandardWeb"/>
      <w:spacing w:before="0" w:beforeAutospacing="0" w:after="0" w:afterAutospacing="0"/>
      <w:jc w:val="right"/>
      <w:rPr>
        <w:rFonts w:ascii="Inter" w:hAnsi="Inter"/>
        <w:color w:val="000000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>OIB 08368489283 </w:t>
    </w:r>
  </w:p>
  <w:p w14:paraId="5D4F7266" w14:textId="77777777" w:rsidR="005818AE" w:rsidRPr="00474187" w:rsidRDefault="005818AE" w:rsidP="005818AE">
    <w:pPr>
      <w:pStyle w:val="StandardWeb"/>
      <w:spacing w:before="0" w:beforeAutospacing="0" w:after="0" w:afterAutospacing="0"/>
      <w:jc w:val="right"/>
      <w:rPr>
        <w:rFonts w:ascii="Inter" w:hAnsi="Inter"/>
        <w:color w:val="000000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>Žiro račun HR8824020061100764338</w:t>
    </w:r>
  </w:p>
  <w:p w14:paraId="4BE49848" w14:textId="77777777" w:rsidR="005818AE" w:rsidRPr="00474187" w:rsidRDefault="005818AE" w:rsidP="005818AE">
    <w:pPr>
      <w:pStyle w:val="StandardWeb"/>
      <w:spacing w:before="0" w:beforeAutospacing="0" w:after="0" w:afterAutospacing="0"/>
      <w:jc w:val="right"/>
      <w:rPr>
        <w:rFonts w:ascii="Inter" w:hAnsi="Inter"/>
        <w:color w:val="000000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>MB 4468996</w:t>
    </w:r>
  </w:p>
  <w:p w14:paraId="1BB2EB35" w14:textId="77777777" w:rsidR="005818AE" w:rsidRPr="00474187" w:rsidRDefault="005818AE" w:rsidP="005818AE">
    <w:pPr>
      <w:pStyle w:val="StandardWeb"/>
      <w:spacing w:before="0" w:beforeAutospacing="0" w:after="0" w:afterAutospacing="0"/>
      <w:jc w:val="right"/>
      <w:rPr>
        <w:rFonts w:ascii="Inter" w:hAnsi="Inter"/>
        <w:sz w:val="18"/>
        <w:szCs w:val="18"/>
      </w:rPr>
    </w:pPr>
    <w:r w:rsidRPr="00474187">
      <w:rPr>
        <w:rFonts w:ascii="Inter" w:hAnsi="Inter"/>
        <w:color w:val="000000"/>
        <w:sz w:val="18"/>
        <w:szCs w:val="18"/>
      </w:rPr>
      <w:t>REG.BR. 200001375</w:t>
    </w:r>
  </w:p>
  <w:p w14:paraId="2F25D5EE" w14:textId="145ACCE6" w:rsidR="005818AE" w:rsidRDefault="005818AE" w:rsidP="005818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Inter" w:hAnsi="Inter"/>
        <w:color w:val="1155CC"/>
        <w:sz w:val="18"/>
        <w:szCs w:val="18"/>
        <w:u w:val="single"/>
      </w:rPr>
    </w:pPr>
    <w:hyperlink r:id="rId2" w:history="1">
      <w:r w:rsidRPr="00474187">
        <w:rPr>
          <w:rStyle w:val="Hiperveza"/>
          <w:rFonts w:ascii="Inter" w:hAnsi="Inter"/>
          <w:color w:val="1155CC"/>
          <w:sz w:val="18"/>
          <w:szCs w:val="18"/>
        </w:rPr>
        <w:t>info@p</w:t>
      </w:r>
    </w:hyperlink>
    <w:hyperlink r:id="rId3" w:history="1">
      <w:r w:rsidRPr="00474187">
        <w:rPr>
          <w:rStyle w:val="Hiperveza"/>
          <w:rFonts w:ascii="Inter" w:hAnsi="Inter"/>
          <w:sz w:val="18"/>
          <w:szCs w:val="18"/>
        </w:rPr>
        <w:t>dcck.hr</w:t>
      </w:r>
    </w:hyperlink>
    <w:r w:rsidRPr="00474187">
      <w:rPr>
        <w:rFonts w:ascii="Inter" w:hAnsi="Inter"/>
        <w:color w:val="000000"/>
        <w:sz w:val="18"/>
        <w:szCs w:val="18"/>
      </w:rPr>
      <w:t xml:space="preserve">   |   </w:t>
    </w:r>
    <w:hyperlink r:id="rId4" w:history="1">
      <w:r w:rsidRPr="001F6063">
        <w:rPr>
          <w:rStyle w:val="Hiperveza"/>
          <w:rFonts w:ascii="Inter" w:hAnsi="Inter"/>
          <w:sz w:val="18"/>
          <w:szCs w:val="18"/>
        </w:rPr>
        <w:t>www.pdcck.hr</w:t>
      </w:r>
    </w:hyperlink>
  </w:p>
  <w:p w14:paraId="080B4340" w14:textId="77777777" w:rsidR="005818AE" w:rsidRPr="005818AE" w:rsidRDefault="005818AE" w:rsidP="005818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Inter" w:hAnsi="Inter"/>
        <w:color w:val="1155CC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F071" w14:textId="77777777" w:rsidR="00FB53FC" w:rsidRDefault="00FB53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3A99"/>
    <w:multiLevelType w:val="hybridMultilevel"/>
    <w:tmpl w:val="E4983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B0090"/>
    <w:multiLevelType w:val="hybridMultilevel"/>
    <w:tmpl w:val="E4203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33940">
    <w:abstractNumId w:val="1"/>
  </w:num>
  <w:num w:numId="2" w16cid:durableId="48951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FC"/>
    <w:rsid w:val="00266E88"/>
    <w:rsid w:val="002A5B01"/>
    <w:rsid w:val="00415BA8"/>
    <w:rsid w:val="005818AE"/>
    <w:rsid w:val="005D3E47"/>
    <w:rsid w:val="005D659F"/>
    <w:rsid w:val="006B7641"/>
    <w:rsid w:val="00714DEF"/>
    <w:rsid w:val="0077481D"/>
    <w:rsid w:val="00812A9A"/>
    <w:rsid w:val="008C3F5C"/>
    <w:rsid w:val="009C31A6"/>
    <w:rsid w:val="009E2184"/>
    <w:rsid w:val="00AA6FB8"/>
    <w:rsid w:val="00B56D2D"/>
    <w:rsid w:val="00BB23A7"/>
    <w:rsid w:val="00C07A44"/>
    <w:rsid w:val="00C9584D"/>
    <w:rsid w:val="00CB359D"/>
    <w:rsid w:val="00EA188D"/>
    <w:rsid w:val="00EC5222"/>
    <w:rsid w:val="00F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C73EE"/>
  <w15:docId w15:val="{CCDED590-C9F5-4226-B8C6-C615163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9E18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5818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818AE"/>
  </w:style>
  <w:style w:type="character" w:styleId="Hiperveza">
    <w:name w:val="Hyperlink"/>
    <w:basedOn w:val="Zadanifontodlomka"/>
    <w:uiPriority w:val="99"/>
    <w:unhideWhenUsed/>
    <w:rsid w:val="005818A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818A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C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dcck.hr" TargetMode="External"/><Relationship Id="rId2" Type="http://schemas.openxmlformats.org/officeDocument/2006/relationships/hyperlink" Target="mailto:info@pdcck.hr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pdcc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lh5DUYpKDKG23R7SI5CWI91dw==">AMUW2mV0H/9VftGQ90N+dRZ0wRbVyJ2a9kAGiInPuceemOhxxhkfKYBh5CtRp2Za7L6C2qtPNT9z072FEUi6q4+6iStuPBzIfnJZkFC0GxyP3hDe79CITBA=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</dc:creator>
  <cp:lastModifiedBy>Bojana Spanicek Kanoti</cp:lastModifiedBy>
  <cp:revision>2</cp:revision>
  <dcterms:created xsi:type="dcterms:W3CDTF">2024-12-09T12:48:00Z</dcterms:created>
  <dcterms:modified xsi:type="dcterms:W3CDTF">2024-12-09T12:48:00Z</dcterms:modified>
</cp:coreProperties>
</file>